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6DBD" w14:textId="77777777" w:rsidR="00E50270" w:rsidRDefault="00000000">
      <w:pPr>
        <w:pStyle w:val="1"/>
        <w:spacing w:line="560" w:lineRule="exact"/>
        <w:jc w:val="both"/>
      </w:pPr>
      <w:r>
        <w:rPr>
          <w:rFonts w:ascii="黑体" w:eastAsia="黑体" w:hAnsi="黑体" w:cs="黑体"/>
          <w:color w:val="000000"/>
          <w:sz w:val="32"/>
        </w:rPr>
        <w:t>附件 2</w:t>
      </w:r>
    </w:p>
    <w:p w14:paraId="0319A270" w14:textId="77777777" w:rsidR="00E50270" w:rsidRDefault="00000000">
      <w:pPr>
        <w:spacing w:before="0" w:after="0"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</w:rPr>
        <w:t>数据要素典型应用场景（数据流通交易方向）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申报材料</w:t>
      </w:r>
    </w:p>
    <w:p w14:paraId="09794DB3" w14:textId="77777777" w:rsidR="00E50270" w:rsidRDefault="00000000">
      <w:pPr>
        <w:spacing w:before="0" w:after="0" w:line="560" w:lineRule="exact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编写框架</w:t>
      </w:r>
    </w:p>
    <w:p w14:paraId="0DA6898D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黑体" w:eastAsia="黑体" w:hAnsi="黑体" w:cs="黑体"/>
          <w:color w:val="000000"/>
          <w:sz w:val="32"/>
        </w:rPr>
        <w:t>一、总体要求</w:t>
      </w:r>
    </w:p>
    <w:p w14:paraId="48F78F33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</w:rPr>
        <w:t>典型应用场景申报</w:t>
      </w:r>
      <w:r>
        <w:rPr>
          <w:rFonts w:ascii="仿宋_GB2312" w:eastAsia="仿宋_GB2312" w:hAnsi="仿宋_GB2312" w:cs="仿宋_GB2312"/>
          <w:color w:val="000000"/>
          <w:sz w:val="32"/>
        </w:rPr>
        <w:t>材料是专家组客观、科学、高效开展评价、审查的重要依据，申请单位需按照此框架认真编写，并保证案例的</w:t>
      </w:r>
      <w:r>
        <w:rPr>
          <w:rFonts w:ascii="仿宋_GB2312" w:eastAsia="仿宋_GB2312" w:hAnsi="仿宋_GB2312" w:cs="仿宋_GB2312"/>
          <w:b/>
          <w:color w:val="000000"/>
          <w:sz w:val="32"/>
        </w:rPr>
        <w:t>完整、</w:t>
      </w:r>
      <w:r>
        <w:rPr>
          <w:rFonts w:ascii="仿宋_GB2312" w:eastAsia="仿宋_GB2312" w:hAnsi="仿宋_GB2312" w:cs="仿宋_GB2312" w:hint="eastAsia"/>
          <w:b/>
          <w:color w:val="000000"/>
          <w:sz w:val="32"/>
        </w:rPr>
        <w:t>简洁</w:t>
      </w:r>
      <w:r>
        <w:rPr>
          <w:rFonts w:ascii="仿宋_GB2312" w:eastAsia="仿宋_GB2312" w:hAnsi="仿宋_GB2312" w:cs="仿宋_GB2312"/>
          <w:b/>
          <w:color w:val="000000"/>
          <w:sz w:val="32"/>
        </w:rPr>
        <w:t>、规范</w:t>
      </w:r>
      <w:r>
        <w:rPr>
          <w:rFonts w:ascii="仿宋_GB2312" w:eastAsia="仿宋_GB2312" w:hAnsi="仿宋_GB2312" w:cs="仿宋_GB2312"/>
          <w:color w:val="000000"/>
          <w:sz w:val="32"/>
        </w:rPr>
        <w:t>。具体要求如下：</w:t>
      </w:r>
    </w:p>
    <w:p w14:paraId="5C3D6FD4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/>
          <w:color w:val="000000"/>
          <w:sz w:val="32"/>
        </w:rPr>
        <w:t>1.材料编写需贴近实际，尽量采用</w:t>
      </w:r>
      <w:r>
        <w:rPr>
          <w:rFonts w:ascii="仿宋_GB2312" w:eastAsia="仿宋_GB2312" w:hAnsi="仿宋_GB2312" w:cs="仿宋_GB2312"/>
          <w:b/>
          <w:color w:val="000000"/>
          <w:sz w:val="32"/>
        </w:rPr>
        <w:t>描述性语言</w:t>
      </w:r>
      <w:r>
        <w:rPr>
          <w:rFonts w:ascii="仿宋_GB2312" w:eastAsia="仿宋_GB2312" w:hAnsi="仿宋_GB2312" w:cs="仿宋_GB2312"/>
          <w:color w:val="000000"/>
          <w:sz w:val="32"/>
        </w:rPr>
        <w:t>，方便专家组快速、完整理解材料内容。</w:t>
      </w:r>
    </w:p>
    <w:p w14:paraId="3BF80782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/>
          <w:color w:val="000000"/>
          <w:sz w:val="32"/>
        </w:rPr>
        <w:t>2.材料编写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可参考</w:t>
      </w:r>
      <w:r>
        <w:rPr>
          <w:rFonts w:ascii="仿宋_GB2312" w:eastAsia="仿宋_GB2312" w:hAnsi="仿宋_GB2312" w:cs="仿宋_GB2312"/>
          <w:color w:val="000000"/>
          <w:sz w:val="32"/>
        </w:rPr>
        <w:t>框架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所列出的四个维度</w:t>
      </w:r>
      <w:r>
        <w:rPr>
          <w:rFonts w:ascii="仿宋_GB2312" w:eastAsia="仿宋_GB2312" w:hAnsi="仿宋_GB2312" w:cs="仿宋_GB2312"/>
          <w:color w:val="000000"/>
          <w:sz w:val="32"/>
        </w:rPr>
        <w:t>，内容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包括但不限于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所列出的四个维度</w:t>
      </w:r>
      <w:r>
        <w:rPr>
          <w:rFonts w:ascii="仿宋_GB2312" w:eastAsia="仿宋_GB2312" w:hAnsi="仿宋_GB2312" w:cs="仿宋_GB2312"/>
          <w:color w:val="000000"/>
          <w:sz w:val="32"/>
        </w:rPr>
        <w:t>。</w:t>
      </w:r>
    </w:p>
    <w:p w14:paraId="3544EADB" w14:textId="77777777" w:rsidR="00E50270" w:rsidRDefault="00000000">
      <w:pPr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</w:rPr>
        <w:t>3.材料字数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控制在</w:t>
      </w:r>
      <w:r>
        <w:rPr>
          <w:rFonts w:ascii="仿宋_GB2312" w:eastAsia="仿宋_GB2312" w:hAnsi="仿宋_GB2312" w:cs="仿宋_GB2312"/>
          <w:color w:val="000000"/>
          <w:sz w:val="32"/>
        </w:rPr>
        <w:t>5000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字以内</w:t>
      </w:r>
      <w:r>
        <w:rPr>
          <w:rFonts w:ascii="仿宋_GB2312" w:eastAsia="仿宋_GB2312" w:hAnsi="仿宋_GB2312" w:cs="仿宋_GB2312"/>
          <w:color w:val="000000"/>
          <w:sz w:val="32"/>
        </w:rPr>
        <w:t>。</w:t>
      </w:r>
    </w:p>
    <w:p w14:paraId="2FF2AB3A" w14:textId="77777777" w:rsidR="00E50270" w:rsidRDefault="00000000">
      <w:pPr>
        <w:spacing w:before="0"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4.如有需要，可提供包括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涉及典型应用场景的相关</w:t>
      </w:r>
      <w:r w:rsidRPr="00063812"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数据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产品、数据服务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演示以及专家演讲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等的视频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内容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作为辅助材料，视频大小不超过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1000MB。</w:t>
      </w:r>
    </w:p>
    <w:p w14:paraId="0B9F977B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黑体" w:eastAsia="黑体" w:hAnsi="黑体" w:cs="黑体"/>
          <w:color w:val="000000"/>
          <w:sz w:val="32"/>
        </w:rPr>
        <w:t>二、基本框架</w:t>
      </w:r>
    </w:p>
    <w:p w14:paraId="04830122" w14:textId="77777777" w:rsidR="00E50270" w:rsidRDefault="00000000">
      <w:pPr>
        <w:spacing w:before="0" w:after="0" w:line="560" w:lineRule="exact"/>
        <w:ind w:firstLineChars="200" w:firstLine="643"/>
        <w:jc w:val="both"/>
      </w:pPr>
      <w:r>
        <w:rPr>
          <w:rFonts w:ascii="楷体" w:eastAsia="楷体" w:hAnsi="楷体" w:cs="楷体"/>
          <w:b/>
          <w:color w:val="000000"/>
          <w:sz w:val="32"/>
        </w:rPr>
        <w:t>（一）</w:t>
      </w:r>
      <w:r>
        <w:rPr>
          <w:rFonts w:ascii="楷体" w:eastAsia="楷体" w:hAnsi="楷体" w:cs="楷体" w:hint="eastAsia"/>
          <w:b/>
          <w:color w:val="000000"/>
          <w:sz w:val="32"/>
        </w:rPr>
        <w:t>应用场景</w:t>
      </w:r>
    </w:p>
    <w:p w14:paraId="30CF38B7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/>
          <w:color w:val="000000"/>
          <w:sz w:val="32"/>
        </w:rPr>
        <w:t>本部分主要需阐述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案例所涉及的具体应用场景</w:t>
      </w:r>
      <w:r>
        <w:rPr>
          <w:rFonts w:ascii="仿宋_GB2312" w:eastAsia="仿宋_GB2312" w:hAnsi="仿宋_GB2312" w:cs="仿宋_GB2312"/>
          <w:color w:val="000000"/>
          <w:sz w:val="32"/>
        </w:rPr>
        <w:t>，需重点描述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该场景涉及的主体、运行机制，在相关数据产品、技术和解决方案出现之前该场景</w:t>
      </w:r>
      <w:r>
        <w:rPr>
          <w:rFonts w:ascii="仿宋_GB2312" w:eastAsia="仿宋_GB2312" w:hAnsi="仿宋_GB2312" w:cs="仿宋_GB2312"/>
          <w:color w:val="000000"/>
          <w:sz w:val="32"/>
        </w:rPr>
        <w:t>所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面临的</w:t>
      </w:r>
      <w:r>
        <w:rPr>
          <w:rFonts w:ascii="仿宋_GB2312" w:eastAsia="仿宋_GB2312" w:hAnsi="仿宋_GB2312" w:cs="仿宋_GB2312"/>
          <w:bCs/>
          <w:color w:val="000000"/>
          <w:sz w:val="32"/>
        </w:rPr>
        <w:t>痛点</w:t>
      </w:r>
      <w:r>
        <w:rPr>
          <w:rFonts w:ascii="仿宋_GB2312" w:eastAsia="仿宋_GB2312" w:hAnsi="仿宋_GB2312" w:cs="仿宋_GB2312" w:hint="eastAsia"/>
          <w:bCs/>
          <w:color w:val="000000"/>
          <w:sz w:val="32"/>
        </w:rPr>
        <w:t>难点</w:t>
      </w:r>
      <w:r>
        <w:rPr>
          <w:rFonts w:ascii="仿宋_GB2312" w:eastAsia="仿宋_GB2312" w:hAnsi="仿宋_GB2312" w:cs="仿宋_GB2312"/>
          <w:color w:val="000000"/>
          <w:sz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现实</w:t>
      </w:r>
      <w:r>
        <w:rPr>
          <w:rFonts w:ascii="仿宋_GB2312" w:eastAsia="仿宋_GB2312" w:hAnsi="仿宋_GB2312" w:cs="仿宋_GB2312"/>
          <w:color w:val="000000"/>
          <w:sz w:val="32"/>
        </w:rPr>
        <w:t>情况。</w:t>
      </w:r>
    </w:p>
    <w:p w14:paraId="18BF8346" w14:textId="77777777" w:rsidR="00E50270" w:rsidRDefault="00000000">
      <w:pPr>
        <w:spacing w:before="0" w:after="0" w:line="560" w:lineRule="exact"/>
        <w:ind w:firstLineChars="200" w:firstLine="643"/>
        <w:jc w:val="both"/>
      </w:pPr>
      <w:r>
        <w:rPr>
          <w:rFonts w:ascii="楷体" w:eastAsia="楷体" w:hAnsi="楷体" w:cs="楷体"/>
          <w:b/>
          <w:color w:val="000000"/>
          <w:sz w:val="32"/>
        </w:rPr>
        <w:t>（二）</w:t>
      </w:r>
      <w:r>
        <w:rPr>
          <w:rFonts w:ascii="楷体" w:eastAsia="楷体" w:hAnsi="楷体" w:cs="楷体" w:hint="eastAsia"/>
          <w:b/>
          <w:color w:val="000000"/>
          <w:sz w:val="32"/>
        </w:rPr>
        <w:t>解决</w:t>
      </w:r>
      <w:r>
        <w:rPr>
          <w:rFonts w:ascii="楷体" w:eastAsia="楷体" w:hAnsi="楷体" w:cs="楷体"/>
          <w:b/>
          <w:color w:val="000000"/>
          <w:sz w:val="32"/>
        </w:rPr>
        <w:t>方案</w:t>
      </w:r>
    </w:p>
    <w:p w14:paraId="061BD027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</w:rPr>
        <w:t>针对上述应用场景，相关主体</w:t>
      </w:r>
      <w:r>
        <w:rPr>
          <w:rFonts w:ascii="仿宋_GB2312" w:eastAsia="仿宋_GB2312" w:hAnsi="仿宋_GB2312" w:cs="仿宋_GB2312"/>
          <w:color w:val="000000"/>
          <w:sz w:val="32"/>
        </w:rPr>
        <w:t>提供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了哪些相关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</w:rPr>
        <w:t>数据产品和服务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，描述数据产品和服务的数据来源、服务对象</w:t>
      </w:r>
      <w:r>
        <w:rPr>
          <w:rFonts w:ascii="仿宋_GB2312" w:eastAsia="仿宋_GB2312" w:hAnsi="仿宋_GB2312" w:cs="仿宋_GB2312"/>
          <w:color w:val="000000"/>
          <w:sz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服务内容</w:t>
      </w:r>
      <w:r>
        <w:rPr>
          <w:rFonts w:ascii="仿宋_GB2312" w:eastAsia="仿宋_GB2312" w:hAnsi="仿宋_GB2312" w:cs="仿宋_GB2312"/>
          <w:color w:val="000000"/>
          <w:sz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相关内容</w:t>
      </w:r>
      <w:r>
        <w:rPr>
          <w:rFonts w:ascii="仿宋_GB2312" w:eastAsia="仿宋_GB2312" w:hAnsi="仿宋_GB2312" w:cs="仿宋_GB2312"/>
          <w:color w:val="000000"/>
          <w:sz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尤其是重点阐述其中的数据流通机制，即数据在不同主体之间如何实现有效共享、流通、整合或交易，提供支撑的数据平台或</w:t>
      </w:r>
      <w:r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数据技术是什么</w:t>
      </w:r>
      <w:r>
        <w:rPr>
          <w:rFonts w:ascii="仿宋_GB2312" w:eastAsia="仿宋_GB2312" w:hAnsi="仿宋_GB2312" w:cs="仿宋_GB2312"/>
          <w:color w:val="000000"/>
          <w:sz w:val="32"/>
        </w:rPr>
        <w:t>。本部分是专家组评价、审查的重点，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方案</w:t>
      </w:r>
      <w:r>
        <w:rPr>
          <w:rFonts w:ascii="仿宋_GB2312" w:eastAsia="仿宋_GB2312" w:hAnsi="仿宋_GB2312" w:cs="仿宋_GB2312"/>
          <w:color w:val="000000"/>
          <w:sz w:val="32"/>
        </w:rPr>
        <w:t>介绍过程中，请尽量采用</w:t>
      </w:r>
      <w:r>
        <w:rPr>
          <w:rFonts w:ascii="仿宋_GB2312" w:eastAsia="仿宋_GB2312" w:hAnsi="仿宋_GB2312" w:cs="仿宋_GB2312"/>
          <w:b/>
          <w:color w:val="000000"/>
          <w:sz w:val="32"/>
        </w:rPr>
        <w:t>图表</w:t>
      </w:r>
      <w:r>
        <w:rPr>
          <w:rFonts w:ascii="仿宋_GB2312" w:eastAsia="仿宋_GB2312" w:hAnsi="仿宋_GB2312" w:cs="仿宋_GB2312"/>
          <w:color w:val="000000"/>
          <w:sz w:val="32"/>
        </w:rPr>
        <w:t>等直观形式进行阐述，以方便专家组快速、准确了解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该方案</w:t>
      </w:r>
      <w:r>
        <w:rPr>
          <w:rFonts w:ascii="仿宋_GB2312" w:eastAsia="仿宋_GB2312" w:hAnsi="仿宋_GB2312" w:cs="仿宋_GB2312"/>
          <w:color w:val="000000"/>
          <w:sz w:val="32"/>
        </w:rPr>
        <w:t>实际情况。</w:t>
      </w:r>
    </w:p>
    <w:p w14:paraId="740D12B9" w14:textId="77777777" w:rsidR="00E50270" w:rsidRDefault="00000000">
      <w:pPr>
        <w:spacing w:before="0" w:after="0" w:line="560" w:lineRule="exact"/>
        <w:ind w:firstLineChars="200" w:firstLine="643"/>
        <w:jc w:val="both"/>
        <w:rPr>
          <w:rFonts w:eastAsia="楷体"/>
        </w:rPr>
      </w:pPr>
      <w:r>
        <w:rPr>
          <w:rFonts w:ascii="楷体" w:eastAsia="楷体" w:hAnsi="楷体" w:cs="楷体"/>
          <w:b/>
          <w:color w:val="000000"/>
          <w:sz w:val="32"/>
        </w:rPr>
        <w:t>（三）</w:t>
      </w:r>
      <w:r>
        <w:rPr>
          <w:rFonts w:ascii="楷体" w:eastAsia="楷体" w:hAnsi="楷体" w:cs="楷体" w:hint="eastAsia"/>
          <w:b/>
          <w:color w:val="000000"/>
          <w:sz w:val="32"/>
        </w:rPr>
        <w:t>经济效益、社会效益和创新点</w:t>
      </w:r>
    </w:p>
    <w:p w14:paraId="34944A01" w14:textId="77777777" w:rsidR="00E50270" w:rsidRDefault="00000000">
      <w:pPr>
        <w:spacing w:before="0" w:after="0" w:line="560" w:lineRule="exact"/>
        <w:ind w:firstLineChars="200" w:firstLine="640"/>
        <w:jc w:val="both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相关技术、产品和解决方案</w:t>
      </w:r>
      <w:r>
        <w:rPr>
          <w:rFonts w:ascii="仿宋_GB2312" w:eastAsia="仿宋_GB2312" w:hAnsi="仿宋_GB2312" w:cs="仿宋_GB2312"/>
          <w:color w:val="000000"/>
          <w:sz w:val="32"/>
        </w:rPr>
        <w:t>的实际成效，包括</w:t>
      </w:r>
      <w:r>
        <w:rPr>
          <w:rFonts w:ascii="仿宋_GB2312" w:eastAsia="仿宋_GB2312" w:hAnsi="仿宋_GB2312" w:cs="仿宋_GB2312"/>
          <w:b/>
          <w:color w:val="000000"/>
          <w:sz w:val="32"/>
        </w:rPr>
        <w:t>经济效益</w:t>
      </w:r>
      <w:r>
        <w:rPr>
          <w:rFonts w:ascii="仿宋_GB2312" w:eastAsia="仿宋_GB2312" w:hAnsi="仿宋_GB2312" w:cs="仿宋_GB2312"/>
          <w:color w:val="000000"/>
          <w:sz w:val="32"/>
        </w:rPr>
        <w:t>、</w:t>
      </w:r>
      <w:r>
        <w:rPr>
          <w:rFonts w:ascii="仿宋_GB2312" w:eastAsia="仿宋_GB2312" w:hAnsi="仿宋_GB2312" w:cs="仿宋_GB2312"/>
          <w:b/>
          <w:color w:val="000000"/>
          <w:sz w:val="32"/>
        </w:rPr>
        <w:t>社会效益</w:t>
      </w:r>
      <w:r>
        <w:rPr>
          <w:rFonts w:ascii="仿宋_GB2312" w:eastAsia="仿宋_GB2312" w:hAnsi="仿宋_GB2312" w:cs="仿宋_GB2312" w:hint="eastAsia"/>
          <w:b/>
          <w:color w:val="000000"/>
          <w:sz w:val="32"/>
        </w:rPr>
        <w:t>和创新点</w:t>
      </w:r>
      <w:r>
        <w:rPr>
          <w:rFonts w:ascii="仿宋_GB2312" w:eastAsia="仿宋_GB2312" w:hAnsi="仿宋_GB2312" w:cs="仿宋_GB2312" w:hint="eastAsia"/>
          <w:color w:val="000000"/>
          <w:sz w:val="32"/>
        </w:rPr>
        <w:t>三</w:t>
      </w:r>
      <w:r>
        <w:rPr>
          <w:rFonts w:ascii="仿宋_GB2312" w:eastAsia="仿宋_GB2312" w:hAnsi="仿宋_GB2312" w:cs="仿宋_GB2312"/>
          <w:color w:val="000000"/>
          <w:sz w:val="32"/>
        </w:rPr>
        <w:t>部分。经济效益主要包括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该技术、产品和解决方案</w:t>
      </w:r>
      <w:r>
        <w:rPr>
          <w:rFonts w:ascii="仿宋_GB2312" w:eastAsia="仿宋_GB2312" w:hAnsi="仿宋_GB2312" w:cs="仿宋_GB2312"/>
          <w:color w:val="000000"/>
          <w:sz w:val="32"/>
        </w:rPr>
        <w:t>为申报单位或客户实现的经济价值。社会效益包括对于客户、行业、国家整体的积极促进作用等情况。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创新点包括案例对解决行业痛点、提升产业价值的突破性作用，以及案例是否在数据产权分置、交易流通、收益分配等方面开展了制度机制创新，等等。</w:t>
      </w:r>
    </w:p>
    <w:p w14:paraId="37E7D983" w14:textId="77777777" w:rsidR="00E50270" w:rsidRDefault="00000000">
      <w:pPr>
        <w:spacing w:before="0" w:after="0" w:line="560" w:lineRule="exact"/>
        <w:ind w:firstLineChars="200" w:firstLine="643"/>
        <w:jc w:val="both"/>
      </w:pPr>
      <w:r>
        <w:rPr>
          <w:rFonts w:ascii="楷体" w:eastAsia="楷体" w:hAnsi="楷体" w:cs="楷体"/>
          <w:b/>
          <w:color w:val="000000"/>
          <w:sz w:val="32"/>
        </w:rPr>
        <w:t>（</w:t>
      </w:r>
      <w:r>
        <w:rPr>
          <w:rFonts w:ascii="楷体" w:eastAsia="楷体" w:hAnsi="楷体" w:cs="楷体" w:hint="eastAsia"/>
          <w:b/>
          <w:color w:val="000000"/>
          <w:sz w:val="32"/>
        </w:rPr>
        <w:t>四</w:t>
      </w:r>
      <w:r>
        <w:rPr>
          <w:rFonts w:ascii="楷体" w:eastAsia="楷体" w:hAnsi="楷体" w:cs="楷体"/>
          <w:b/>
          <w:color w:val="000000"/>
          <w:sz w:val="32"/>
        </w:rPr>
        <w:t>）应用推广价值</w:t>
      </w:r>
    </w:p>
    <w:p w14:paraId="54904590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/>
          <w:color w:val="000000"/>
          <w:sz w:val="32"/>
        </w:rPr>
        <w:t>案例进一步应用推广的价值和意义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</w:rPr>
        <w:t>需归纳总结出案例在行业、领域推广应用的潜在价值和效用，并</w:t>
      </w:r>
      <w:r>
        <w:rPr>
          <w:rFonts w:ascii="仿宋_GB2312" w:eastAsia="仿宋_GB2312" w:hAnsi="仿宋_GB2312" w:cs="仿宋_GB2312"/>
          <w:b/>
          <w:color w:val="000000"/>
          <w:sz w:val="32"/>
        </w:rPr>
        <w:t>逐条</w:t>
      </w:r>
      <w:r>
        <w:rPr>
          <w:rFonts w:ascii="仿宋_GB2312" w:eastAsia="仿宋_GB2312" w:hAnsi="仿宋_GB2312" w:cs="仿宋_GB2312"/>
          <w:color w:val="000000"/>
          <w:sz w:val="32"/>
        </w:rPr>
        <w:t>进行清晰论述。</w:t>
      </w:r>
    </w:p>
    <w:p w14:paraId="3DC99063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黑体" w:eastAsia="黑体" w:hAnsi="黑体" w:cs="黑体"/>
          <w:color w:val="000000"/>
          <w:sz w:val="32"/>
        </w:rPr>
        <w:t>三、格式要求</w:t>
      </w:r>
    </w:p>
    <w:p w14:paraId="78B4EF17" w14:textId="77777777" w:rsidR="00E50270" w:rsidRDefault="00000000">
      <w:pPr>
        <w:spacing w:before="0" w:after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/>
          <w:color w:val="000000"/>
          <w:sz w:val="32"/>
        </w:rPr>
        <w:t>题目采用黑体小二号字体，一级标题采用黑体三号字体，二级标题采用楷体三号字体，三级标题采用仿宋</w:t>
      </w:r>
      <w:r>
        <w:rPr>
          <w:rFonts w:ascii="仿宋_GB2312" w:eastAsia="仿宋_GB2312" w:hAnsi="仿宋_GB2312" w:cs="仿宋_GB2312" w:hint="eastAsia"/>
          <w:color w:val="000000"/>
          <w:sz w:val="32"/>
        </w:rPr>
        <w:t>GB</w:t>
      </w:r>
      <w:r>
        <w:rPr>
          <w:rFonts w:ascii="仿宋_GB2312" w:eastAsia="仿宋_GB2312" w:hAnsi="仿宋_GB2312" w:cs="仿宋_GB2312"/>
          <w:color w:val="000000"/>
          <w:sz w:val="32"/>
        </w:rPr>
        <w:t>2312三号字体，正文采用仿宋</w:t>
      </w:r>
      <w:r>
        <w:rPr>
          <w:rFonts w:ascii="仿宋_GB2312" w:eastAsia="仿宋_GB2312" w:hAnsi="仿宋_GB2312" w:cs="仿宋_GB2312" w:hint="eastAsia"/>
          <w:color w:val="000000"/>
          <w:sz w:val="32"/>
        </w:rPr>
        <w:t>GB</w:t>
      </w:r>
      <w:r>
        <w:rPr>
          <w:rFonts w:ascii="仿宋_GB2312" w:eastAsia="仿宋_GB2312" w:hAnsi="仿宋_GB2312" w:cs="仿宋_GB2312"/>
          <w:color w:val="000000"/>
          <w:sz w:val="32"/>
        </w:rPr>
        <w:t>2312三号字体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</w:rPr>
        <w:t>行距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均使用固定值2</w:t>
      </w:r>
      <w:r>
        <w:rPr>
          <w:rFonts w:ascii="仿宋_GB2312" w:eastAsia="仿宋_GB2312" w:hAnsi="仿宋_GB2312" w:cs="仿宋_GB2312"/>
          <w:color w:val="000000"/>
          <w:sz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磅</w:t>
      </w:r>
      <w:r>
        <w:rPr>
          <w:rFonts w:ascii="仿宋_GB2312" w:eastAsia="仿宋_GB2312" w:hAnsi="仿宋_GB2312" w:cs="仿宋_GB2312"/>
          <w:color w:val="000000"/>
          <w:sz w:val="32"/>
        </w:rPr>
        <w:t>。</w:t>
      </w:r>
    </w:p>
    <w:p w14:paraId="50455059" w14:textId="77777777" w:rsidR="00E50270" w:rsidRDefault="00E50270">
      <w:pPr>
        <w:spacing w:before="0" w:after="0"/>
        <w:jc w:val="both"/>
      </w:pPr>
    </w:p>
    <w:p w14:paraId="0E283E14" w14:textId="77777777" w:rsidR="00E50270" w:rsidRDefault="00E50270"/>
    <w:sectPr w:rsidR="00E50270">
      <w:footerReference w:type="default" r:id="rId6"/>
      <w:pgSz w:w="11905" w:h="16838"/>
      <w:pgMar w:top="1361" w:right="1417" w:bottom="1361" w:left="1417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7373" w14:textId="77777777" w:rsidR="00873EA1" w:rsidRDefault="00873EA1">
      <w:pPr>
        <w:spacing w:before="0" w:after="0"/>
      </w:pPr>
    </w:p>
  </w:endnote>
  <w:endnote w:type="continuationSeparator" w:id="0">
    <w:p w14:paraId="5D019254" w14:textId="77777777" w:rsidR="00873EA1" w:rsidRDefault="00873E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9C23" w14:textId="77777777" w:rsidR="00E5027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802E3" wp14:editId="26B376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835277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EF3F2" w14:textId="77777777" w:rsidR="00E5027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802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DEF3F2" w14:textId="77777777" w:rsidR="00E5027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69B5" w14:textId="77777777" w:rsidR="00873EA1" w:rsidRDefault="00873EA1">
      <w:pPr>
        <w:spacing w:before="0" w:after="0"/>
      </w:pPr>
    </w:p>
  </w:footnote>
  <w:footnote w:type="continuationSeparator" w:id="0">
    <w:p w14:paraId="55FEAC95" w14:textId="77777777" w:rsidR="00873EA1" w:rsidRDefault="00873EA1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1NDgyMDFkMTc3NmVmZTljMzFiNzEzM2VlNjNjZmIifQ=="/>
  </w:docVars>
  <w:rsids>
    <w:rsidRoot w:val="00460431"/>
    <w:rsid w:val="000107CB"/>
    <w:rsid w:val="00063812"/>
    <w:rsid w:val="00111668"/>
    <w:rsid w:val="001C3CDD"/>
    <w:rsid w:val="001E6C6F"/>
    <w:rsid w:val="00215CFD"/>
    <w:rsid w:val="00216F31"/>
    <w:rsid w:val="00307FB4"/>
    <w:rsid w:val="00316C38"/>
    <w:rsid w:val="00332EEB"/>
    <w:rsid w:val="003A4F96"/>
    <w:rsid w:val="00443F17"/>
    <w:rsid w:val="00460431"/>
    <w:rsid w:val="005803D8"/>
    <w:rsid w:val="00630D11"/>
    <w:rsid w:val="006A0E90"/>
    <w:rsid w:val="0079202F"/>
    <w:rsid w:val="007A3BFE"/>
    <w:rsid w:val="00873EA1"/>
    <w:rsid w:val="008F7583"/>
    <w:rsid w:val="009C5282"/>
    <w:rsid w:val="009C65CA"/>
    <w:rsid w:val="00A2124C"/>
    <w:rsid w:val="00B3124F"/>
    <w:rsid w:val="00B329A2"/>
    <w:rsid w:val="00B50077"/>
    <w:rsid w:val="00E2477B"/>
    <w:rsid w:val="00E50270"/>
    <w:rsid w:val="00EB1191"/>
    <w:rsid w:val="00F65BC0"/>
    <w:rsid w:val="00FD23F5"/>
    <w:rsid w:val="03A74002"/>
    <w:rsid w:val="061215D2"/>
    <w:rsid w:val="140C2A96"/>
    <w:rsid w:val="17621497"/>
    <w:rsid w:val="2C001CDB"/>
    <w:rsid w:val="31A53727"/>
    <w:rsid w:val="34FD57FC"/>
    <w:rsid w:val="393C2D31"/>
    <w:rsid w:val="3EAE272B"/>
    <w:rsid w:val="3FF5610C"/>
    <w:rsid w:val="42A00920"/>
    <w:rsid w:val="450905E3"/>
    <w:rsid w:val="4E302CFB"/>
    <w:rsid w:val="56B974B6"/>
    <w:rsid w:val="571C1C97"/>
    <w:rsid w:val="57A07595"/>
    <w:rsid w:val="58784B40"/>
    <w:rsid w:val="6DEE03CF"/>
    <w:rsid w:val="6FA21464"/>
    <w:rsid w:val="7AE715FC"/>
    <w:rsid w:val="7EC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2722"/>
  <w15:docId w15:val="{3C1042C2-07B7-4A83-BFFA-9FFB7B8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60" w:after="60"/>
    </w:pPr>
    <w:rPr>
      <w:color w:val="333333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color w:val="333333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a8">
    <w:name w:val="页眉 字符"/>
    <w:basedOn w:val="a0"/>
    <w:link w:val="a9"/>
    <w:uiPriority w:val="99"/>
    <w:qFormat/>
    <w:rPr>
      <w:color w:val="333333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color w:val="333333"/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b">
    <w:name w:val="Revision"/>
    <w:hidden/>
    <w:uiPriority w:val="99"/>
    <w:semiHidden/>
    <w:rsid w:val="00063812"/>
    <w:rPr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 乐舒</cp:lastModifiedBy>
  <cp:revision>3</cp:revision>
  <dcterms:created xsi:type="dcterms:W3CDTF">2023-07-10T16:54:00Z</dcterms:created>
  <dcterms:modified xsi:type="dcterms:W3CDTF">2023-07-10T09:13:00Z</dcterms:modified>
</cp:coreProperties>
</file>